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DB7DF" w14:textId="24D8E24D" w:rsidR="00362A6B" w:rsidRPr="00707EB3" w:rsidRDefault="004F0726" w:rsidP="00362A6B">
      <w:pPr>
        <w:pStyle w:val="Header"/>
        <w:tabs>
          <w:tab w:val="right" w:pos="9630"/>
        </w:tabs>
        <w:jc w:val="both"/>
        <w:rPr>
          <w:noProof w:val="0"/>
          <w:sz w:val="24"/>
          <w:lang w:val="en-GB"/>
        </w:rPr>
      </w:pPr>
      <w:r w:rsidRPr="00707EB3">
        <w:rPr>
          <w:noProof w:val="0"/>
          <w:sz w:val="24"/>
          <w:lang w:val="en-GB"/>
        </w:rPr>
        <w:pict w14:anchorId="3F825541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1;visibility:hidden">
            <v:textbox inset="5.85pt,.7pt,5.85pt,.7pt"/>
            <w10:anchorlock/>
          </v:shape>
        </w:pic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42135E">
        <w:rPr>
          <w:noProof w:val="0"/>
          <w:sz w:val="24"/>
          <w:lang w:val="en-GB"/>
        </w:rPr>
        <w:t>09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7D1F4E">
        <w:rPr>
          <w:noProof w:val="0"/>
          <w:sz w:val="24"/>
          <w:lang w:val="en-GB"/>
        </w:rPr>
        <w:t>20</w:t>
      </w:r>
      <w:r w:rsidR="00A2245B">
        <w:rPr>
          <w:noProof w:val="0"/>
          <w:sz w:val="24"/>
          <w:lang w:val="en-GB"/>
        </w:rPr>
        <w:t>4800</w:t>
      </w:r>
    </w:p>
    <w:p w14:paraId="5DC3C492" w14:textId="77777777" w:rsidR="0097006C" w:rsidRPr="00707EB3" w:rsidRDefault="0074562E" w:rsidP="00C039A8">
      <w:pPr>
        <w:pStyle w:val="Header"/>
        <w:tabs>
          <w:tab w:val="right" w:pos="9630"/>
        </w:tabs>
        <w:ind w:left="240" w:hangingChars="100" w:hanging="240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17</w:t>
      </w:r>
      <w:r w:rsidR="00D02156"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August </w:t>
      </w:r>
      <w:r>
        <w:rPr>
          <w:rFonts w:eastAsia="SimSun" w:cs="SimHei"/>
          <w:noProof w:val="0"/>
          <w:sz w:val="24"/>
          <w:szCs w:val="22"/>
          <w:lang w:val="en-GB"/>
        </w:rPr>
        <w:t>-</w:t>
      </w:r>
      <w:r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28</w:t>
      </w:r>
      <w:r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0C4034">
        <w:rPr>
          <w:rFonts w:eastAsia="SimSun" w:cs="SimHei"/>
          <w:noProof w:val="0"/>
          <w:sz w:val="24"/>
          <w:szCs w:val="22"/>
          <w:lang w:val="en-GB"/>
        </w:rPr>
        <w:t>August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14:paraId="3A58F7B8" w14:textId="77777777" w:rsidR="00C456CC" w:rsidRPr="00707EB3" w:rsidRDefault="00C456CC" w:rsidP="00C456CC">
      <w:pPr>
        <w:pStyle w:val="3GPPHeader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920C3A">
        <w:rPr>
          <w:lang w:val="en-GB"/>
        </w:rPr>
        <w:t>13</w:t>
      </w:r>
      <w:r w:rsidR="00C20C92">
        <w:rPr>
          <w:lang w:val="en-GB"/>
        </w:rPr>
        <w:t>.</w:t>
      </w:r>
      <w:r w:rsidR="00920C3A">
        <w:rPr>
          <w:lang w:val="en-GB"/>
        </w:rPr>
        <w:t>5</w:t>
      </w:r>
    </w:p>
    <w:p w14:paraId="02243027" w14:textId="77777777" w:rsidR="00652667" w:rsidRPr="00707EB3" w:rsidRDefault="00652667" w:rsidP="00731045">
      <w:pPr>
        <w:pStyle w:val="3GPPHeader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415807A2" w14:textId="6165FE50" w:rsidR="00F23A10" w:rsidRPr="00707EB3" w:rsidRDefault="00F23A10" w:rsidP="00F23A10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994096">
        <w:rPr>
          <w:rFonts w:cs="SimHei"/>
          <w:b/>
          <w:bCs/>
          <w:sz w:val="24"/>
          <w:lang w:val="en-GB"/>
        </w:rPr>
        <w:t xml:space="preserve">IAB support </w:t>
      </w:r>
      <w:r w:rsidR="00E92591">
        <w:rPr>
          <w:rFonts w:cs="SimHei"/>
          <w:b/>
          <w:bCs/>
          <w:sz w:val="24"/>
          <w:lang w:val="en-GB"/>
        </w:rPr>
        <w:t>for RAN shar</w:t>
      </w:r>
      <w:r w:rsidR="00F202EE">
        <w:rPr>
          <w:rFonts w:cs="SimHei"/>
          <w:b/>
          <w:bCs/>
          <w:sz w:val="24"/>
          <w:lang w:val="en-GB"/>
        </w:rPr>
        <w:t>ed</w:t>
      </w:r>
      <w:bookmarkStart w:id="0" w:name="_GoBack"/>
      <w:bookmarkEnd w:id="0"/>
      <w:r w:rsidR="00E92591">
        <w:rPr>
          <w:rFonts w:cs="SimHei"/>
          <w:b/>
          <w:bCs/>
          <w:sz w:val="24"/>
          <w:lang w:val="en-GB"/>
        </w:rPr>
        <w:t xml:space="preserve"> between</w:t>
      </w:r>
      <w:r w:rsidR="00994096">
        <w:rPr>
          <w:rFonts w:cs="SimHei"/>
          <w:b/>
          <w:bCs/>
          <w:sz w:val="24"/>
          <w:lang w:val="en-GB"/>
        </w:rPr>
        <w:t xml:space="preserve"> PLMN and NPN</w:t>
      </w:r>
    </w:p>
    <w:p w14:paraId="6929A5EC" w14:textId="77777777" w:rsidR="00652667" w:rsidRPr="00707EB3" w:rsidRDefault="00DB630B" w:rsidP="00731045">
      <w:pPr>
        <w:pStyle w:val="3GPPHeader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7DCF37EE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14:paraId="11A1A691" w14:textId="77777777" w:rsidR="00301CBC" w:rsidRDefault="00994096" w:rsidP="00994096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Rel-16 IAB can be used either in PLMNs or in NPNs. </w:t>
      </w:r>
      <w:r w:rsidR="007478C4">
        <w:rPr>
          <w:rFonts w:ascii="Times New Roman" w:hAnsi="Times New Roman"/>
          <w:lang w:val="en-GB"/>
        </w:rPr>
        <w:t>For Rel-17, t</w:t>
      </w:r>
      <w:r>
        <w:rPr>
          <w:rFonts w:ascii="Times New Roman" w:hAnsi="Times New Roman"/>
          <w:lang w:val="en-GB"/>
        </w:rPr>
        <w:t xml:space="preserve">his paper discusses </w:t>
      </w:r>
      <w:r w:rsidR="007478C4">
        <w:rPr>
          <w:rFonts w:ascii="Times New Roman" w:hAnsi="Times New Roman"/>
          <w:lang w:val="en-GB"/>
        </w:rPr>
        <w:t>scenarios, where IAB needs to be supported in a RAN, whose resources are shared between P</w:t>
      </w:r>
      <w:r>
        <w:rPr>
          <w:rFonts w:ascii="Times New Roman" w:hAnsi="Times New Roman"/>
          <w:lang w:val="en-GB"/>
        </w:rPr>
        <w:t>LMN</w:t>
      </w:r>
      <w:r w:rsidR="00F55489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and NPN</w:t>
      </w:r>
      <w:r w:rsidR="00F55489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.</w:t>
      </w:r>
    </w:p>
    <w:p w14:paraId="017FBAF5" w14:textId="77777777" w:rsidR="007361A8" w:rsidRDefault="006B2C07" w:rsidP="007361A8">
      <w:pPr>
        <w:pStyle w:val="Heading1"/>
        <w:rPr>
          <w:rFonts w:eastAsia="SimSun"/>
        </w:rPr>
      </w:pPr>
      <w:r w:rsidRPr="00707EB3">
        <w:rPr>
          <w:rFonts w:eastAsia="SimSun"/>
        </w:rPr>
        <w:t>Discussion</w:t>
      </w:r>
    </w:p>
    <w:p w14:paraId="1C33F7E9" w14:textId="77777777" w:rsidR="00BE1241" w:rsidRDefault="00B3651C" w:rsidP="00301CBC">
      <w:pPr>
        <w:ind w:left="14"/>
        <w:jc w:val="center"/>
        <w:rPr>
          <w:rFonts w:ascii="Times New Roman" w:hAnsi="Times New Roman"/>
          <w:lang w:val="en-GB"/>
        </w:rPr>
      </w:pPr>
      <w:r w:rsidRPr="00B3651C">
        <w:pict w14:anchorId="060D6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392.75pt">
            <v:imagedata r:id="rId8" o:title=""/>
          </v:shape>
        </w:pict>
      </w:r>
    </w:p>
    <w:p w14:paraId="10BA7440" w14:textId="77777777" w:rsidR="009C0BA0" w:rsidRDefault="00522507" w:rsidP="008A4F43">
      <w:pPr>
        <w:ind w:left="14"/>
        <w:jc w:val="center"/>
        <w:rPr>
          <w:rFonts w:cs="Arial"/>
          <w:b/>
          <w:bCs/>
          <w:lang w:val="en-GB"/>
        </w:rPr>
      </w:pPr>
      <w:r w:rsidRPr="00522507">
        <w:rPr>
          <w:rFonts w:cs="Arial"/>
          <w:b/>
          <w:bCs/>
          <w:lang w:val="en-GB"/>
        </w:rPr>
        <w:t xml:space="preserve">Figure 1: </w:t>
      </w:r>
      <w:r w:rsidR="00994096">
        <w:rPr>
          <w:rFonts w:cs="Arial"/>
          <w:b/>
          <w:bCs/>
          <w:lang w:val="en-GB"/>
        </w:rPr>
        <w:t>Example scenarios for RAN sharing between PLMN and NPN</w:t>
      </w:r>
      <w:r w:rsidRPr="00522507">
        <w:rPr>
          <w:rFonts w:cs="Arial"/>
          <w:b/>
          <w:bCs/>
          <w:lang w:val="en-GB"/>
        </w:rPr>
        <w:t xml:space="preserve"> for IAB</w:t>
      </w:r>
    </w:p>
    <w:p w14:paraId="5C0A689E" w14:textId="77777777" w:rsidR="00522507" w:rsidRDefault="00522507" w:rsidP="007D2BF9">
      <w:pPr>
        <w:ind w:left="14"/>
        <w:jc w:val="left"/>
        <w:rPr>
          <w:rFonts w:cs="Arial"/>
          <w:b/>
          <w:bCs/>
          <w:lang w:val="en-GB"/>
        </w:rPr>
      </w:pPr>
    </w:p>
    <w:p w14:paraId="165C61C9" w14:textId="77777777" w:rsidR="00F760EE" w:rsidRDefault="00F760EE" w:rsidP="008A4F43">
      <w:pPr>
        <w:jc w:val="left"/>
        <w:rPr>
          <w:rFonts w:ascii="Times New Roman" w:hAnsi="Times New Roman"/>
          <w:lang w:val="en-GB"/>
        </w:rPr>
      </w:pPr>
    </w:p>
    <w:p w14:paraId="712018DC" w14:textId="77777777" w:rsidR="00AE2612" w:rsidRDefault="00AE2612" w:rsidP="008A4F4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The following scenarios are considered:</w:t>
      </w:r>
    </w:p>
    <w:p w14:paraId="77669CA4" w14:textId="77777777" w:rsidR="00F80487" w:rsidRDefault="00AE2612" w:rsidP="008A4F43">
      <w:pPr>
        <w:jc w:val="left"/>
        <w:rPr>
          <w:rFonts w:ascii="Times New Roman" w:hAnsi="Times New Roman"/>
          <w:lang w:val="en-GB"/>
        </w:rPr>
      </w:pPr>
      <w:r w:rsidRPr="00AE2612">
        <w:rPr>
          <w:rFonts w:ascii="Times New Roman" w:hAnsi="Times New Roman"/>
          <w:b/>
          <w:bCs/>
          <w:lang w:val="en-GB"/>
        </w:rPr>
        <w:t>Scenario a:</w:t>
      </w:r>
      <w:r>
        <w:rPr>
          <w:rFonts w:ascii="Times New Roman" w:hAnsi="Times New Roman"/>
          <w:lang w:val="en-GB"/>
        </w:rPr>
        <w:t xml:space="preserve"> Two NPNs</w:t>
      </w:r>
      <w:r w:rsidR="00F36F17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share </w:t>
      </w:r>
      <w:r w:rsidR="00013814">
        <w:rPr>
          <w:rFonts w:ascii="Times New Roman" w:hAnsi="Times New Roman"/>
          <w:lang w:val="en-GB"/>
        </w:rPr>
        <w:t xml:space="preserve">the same </w:t>
      </w:r>
      <w:r>
        <w:rPr>
          <w:rFonts w:ascii="Times New Roman" w:hAnsi="Times New Roman"/>
          <w:lang w:val="en-GB"/>
        </w:rPr>
        <w:t>RAN resources</w:t>
      </w:r>
      <w:r w:rsidR="00013814">
        <w:rPr>
          <w:rFonts w:ascii="Times New Roman" w:hAnsi="Times New Roman"/>
          <w:lang w:val="en-GB"/>
        </w:rPr>
        <w:t>, where the RAN supports</w:t>
      </w:r>
      <w:r w:rsidR="00AE2502">
        <w:rPr>
          <w:rFonts w:ascii="Times New Roman" w:hAnsi="Times New Roman"/>
          <w:lang w:val="en-GB"/>
        </w:rPr>
        <w:t xml:space="preserve"> IAB</w:t>
      </w:r>
      <w:r w:rsidR="002863E6">
        <w:rPr>
          <w:rFonts w:ascii="Times New Roman" w:hAnsi="Times New Roman"/>
          <w:lang w:val="en-GB"/>
        </w:rPr>
        <w:t xml:space="preserve"> (Fig. 1a)</w:t>
      </w:r>
      <w:r>
        <w:rPr>
          <w:rFonts w:ascii="Times New Roman" w:hAnsi="Times New Roman"/>
          <w:lang w:val="en-GB"/>
        </w:rPr>
        <w:t>.</w:t>
      </w:r>
      <w:r w:rsidR="00013814">
        <w:rPr>
          <w:rFonts w:ascii="Times New Roman" w:hAnsi="Times New Roman"/>
          <w:lang w:val="en-GB"/>
        </w:rPr>
        <w:t xml:space="preserve"> This scenario is already supported by Rel-16 IAB.</w:t>
      </w:r>
    </w:p>
    <w:p w14:paraId="36942EFF" w14:textId="77777777" w:rsidR="00F760EE" w:rsidRDefault="002E6D3B" w:rsidP="008A4F4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NPNs may be associated with different enterprises within the same facility.</w:t>
      </w:r>
      <w:r w:rsidR="00DE3C24">
        <w:rPr>
          <w:rFonts w:ascii="Times New Roman" w:hAnsi="Times New Roman"/>
          <w:lang w:val="en-GB"/>
        </w:rPr>
        <w:t xml:space="preserve"> IAB is managed by one of these two networks.</w:t>
      </w:r>
    </w:p>
    <w:p w14:paraId="6DDBCA5F" w14:textId="77777777" w:rsidR="00AE2612" w:rsidRDefault="00F760EE" w:rsidP="008A4F4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According to 23.501,</w:t>
      </w:r>
      <w:r w:rsidR="00AE261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the NPNs </w:t>
      </w:r>
      <w:r w:rsidRPr="002863E6">
        <w:rPr>
          <w:rFonts w:ascii="Times New Roman" w:hAnsi="Times New Roman"/>
          <w:b/>
          <w:bCs/>
          <w:u w:val="single"/>
          <w:lang w:val="en-GB"/>
        </w:rPr>
        <w:t>can</w:t>
      </w:r>
      <w:r>
        <w:rPr>
          <w:rFonts w:ascii="Times New Roman" w:hAnsi="Times New Roman"/>
          <w:lang w:val="en-GB"/>
        </w:rPr>
        <w:t xml:space="preserve"> </w:t>
      </w:r>
      <w:r w:rsidR="002E6D3B">
        <w:rPr>
          <w:rFonts w:ascii="Times New Roman" w:hAnsi="Times New Roman"/>
          <w:lang w:val="en-GB"/>
        </w:rPr>
        <w:t xml:space="preserve">use the same cell </w:t>
      </w:r>
      <w:r>
        <w:rPr>
          <w:rFonts w:ascii="Times New Roman" w:hAnsi="Times New Roman"/>
          <w:lang w:val="en-GB"/>
        </w:rPr>
        <w:t xml:space="preserve">identifier for each cell, which implies that they use a common gNB-CU. </w:t>
      </w:r>
      <w:r w:rsidR="002E6D3B">
        <w:rPr>
          <w:rFonts w:ascii="Times New Roman" w:hAnsi="Times New Roman"/>
          <w:lang w:val="en-GB"/>
        </w:rPr>
        <w:t>T</w:t>
      </w:r>
      <w:r>
        <w:rPr>
          <w:rFonts w:ascii="Times New Roman" w:hAnsi="Times New Roman"/>
          <w:lang w:val="en-GB"/>
        </w:rPr>
        <w:t xml:space="preserve">his gNB-CU </w:t>
      </w:r>
      <w:r w:rsidR="002E6D3B">
        <w:rPr>
          <w:rFonts w:ascii="Times New Roman" w:hAnsi="Times New Roman"/>
          <w:lang w:val="en-GB"/>
        </w:rPr>
        <w:t>obtains</w:t>
      </w:r>
      <w:r>
        <w:rPr>
          <w:rFonts w:ascii="Times New Roman" w:hAnsi="Times New Roman"/>
          <w:lang w:val="en-GB"/>
        </w:rPr>
        <w:t xml:space="preserve"> IAB-donor functionality </w:t>
      </w:r>
      <w:r w:rsidR="002E6D3B">
        <w:rPr>
          <w:rFonts w:ascii="Times New Roman" w:hAnsi="Times New Roman"/>
          <w:lang w:val="en-GB"/>
        </w:rPr>
        <w:t>to</w:t>
      </w:r>
      <w:r>
        <w:rPr>
          <w:rFonts w:ascii="Times New Roman" w:hAnsi="Times New Roman"/>
          <w:lang w:val="en-GB"/>
        </w:rPr>
        <w:t xml:space="preserve"> control IAB operation (Fig. 1a). </w:t>
      </w:r>
      <w:r w:rsidR="002E6D3B">
        <w:rPr>
          <w:rFonts w:ascii="Times New Roman" w:hAnsi="Times New Roman"/>
          <w:lang w:val="en-GB"/>
        </w:rPr>
        <w:t xml:space="preserve">The </w:t>
      </w:r>
      <w:r w:rsidR="002863E6">
        <w:rPr>
          <w:rFonts w:ascii="Times New Roman" w:hAnsi="Times New Roman"/>
          <w:lang w:val="en-GB"/>
        </w:rPr>
        <w:t>IAB-donor</w:t>
      </w:r>
      <w:r w:rsidR="002E6D3B">
        <w:rPr>
          <w:rFonts w:ascii="Times New Roman" w:hAnsi="Times New Roman"/>
          <w:lang w:val="en-GB"/>
        </w:rPr>
        <w:t xml:space="preserve"> may be operated by one of the NPNs.</w:t>
      </w:r>
    </w:p>
    <w:p w14:paraId="23EF8145" w14:textId="77777777" w:rsidR="00F55489" w:rsidRDefault="00F55489" w:rsidP="008A4F4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same scenario applies if two PLMNs share the same RAN resources.</w:t>
      </w:r>
    </w:p>
    <w:p w14:paraId="363EF721" w14:textId="77777777" w:rsidR="00F36F17" w:rsidRDefault="00F36F17" w:rsidP="00F760EE">
      <w:pPr>
        <w:jc w:val="left"/>
        <w:rPr>
          <w:rFonts w:ascii="Times New Roman" w:hAnsi="Times New Roman"/>
          <w:b/>
          <w:bCs/>
          <w:lang w:val="en-GB"/>
        </w:rPr>
      </w:pPr>
    </w:p>
    <w:p w14:paraId="289B7645" w14:textId="77777777" w:rsidR="00F80487" w:rsidRDefault="00F760EE" w:rsidP="002863E6">
      <w:pPr>
        <w:jc w:val="left"/>
        <w:rPr>
          <w:rFonts w:ascii="Times New Roman" w:hAnsi="Times New Roman"/>
          <w:lang w:val="en-GB"/>
        </w:rPr>
      </w:pPr>
      <w:r w:rsidRPr="00AE2612">
        <w:rPr>
          <w:rFonts w:ascii="Times New Roman" w:hAnsi="Times New Roman"/>
          <w:b/>
          <w:bCs/>
          <w:lang w:val="en-GB"/>
        </w:rPr>
        <w:t xml:space="preserve">Scenario </w:t>
      </w:r>
      <w:r>
        <w:rPr>
          <w:rFonts w:ascii="Times New Roman" w:hAnsi="Times New Roman"/>
          <w:b/>
          <w:bCs/>
          <w:lang w:val="en-GB"/>
        </w:rPr>
        <w:t>b</w:t>
      </w:r>
      <w:r w:rsidRPr="00AE2612">
        <w:rPr>
          <w:rFonts w:ascii="Times New Roman" w:hAnsi="Times New Roman"/>
          <w:b/>
          <w:bCs/>
          <w:lang w:val="en-GB"/>
        </w:rPr>
        <w:t>:</w:t>
      </w:r>
      <w:r w:rsidR="00E6638C">
        <w:rPr>
          <w:rFonts w:ascii="Times New Roman" w:hAnsi="Times New Roman"/>
          <w:lang w:val="en-GB"/>
        </w:rPr>
        <w:t xml:space="preserve"> </w:t>
      </w:r>
      <w:r w:rsidR="00F55489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NPN</w:t>
      </w:r>
      <w:r w:rsidR="00F36F17">
        <w:rPr>
          <w:rFonts w:ascii="Times New Roman" w:hAnsi="Times New Roman"/>
          <w:lang w:val="en-GB"/>
        </w:rPr>
        <w:t xml:space="preserve"> and </w:t>
      </w:r>
      <w:r w:rsidR="00F55489">
        <w:rPr>
          <w:rFonts w:ascii="Times New Roman" w:hAnsi="Times New Roman"/>
          <w:lang w:val="en-GB"/>
        </w:rPr>
        <w:t>a</w:t>
      </w:r>
      <w:r w:rsidR="00F36F17">
        <w:rPr>
          <w:rFonts w:ascii="Times New Roman" w:hAnsi="Times New Roman"/>
          <w:lang w:val="en-GB"/>
        </w:rPr>
        <w:t xml:space="preserve"> PLMN</w:t>
      </w:r>
      <w:r w:rsidR="00E6638C">
        <w:rPr>
          <w:rFonts w:ascii="Times New Roman" w:hAnsi="Times New Roman"/>
          <w:lang w:val="en-GB"/>
        </w:rPr>
        <w:t xml:space="preserve"> share the same RAN resources, where the RAN supports IAB</w:t>
      </w:r>
      <w:r w:rsidR="002863E6">
        <w:rPr>
          <w:rFonts w:ascii="Times New Roman" w:hAnsi="Times New Roman"/>
          <w:lang w:val="en-GB"/>
        </w:rPr>
        <w:t xml:space="preserve"> (Fig. 1b)</w:t>
      </w:r>
      <w:r w:rsidR="00E6638C">
        <w:rPr>
          <w:rFonts w:ascii="Times New Roman" w:hAnsi="Times New Roman"/>
          <w:lang w:val="en-GB"/>
        </w:rPr>
        <w:t xml:space="preserve">. </w:t>
      </w:r>
      <w:r w:rsidR="00435DF9">
        <w:rPr>
          <w:rFonts w:ascii="Times New Roman" w:hAnsi="Times New Roman"/>
          <w:lang w:val="en-GB"/>
        </w:rPr>
        <w:t>IAB is managed by one of these networks.</w:t>
      </w:r>
    </w:p>
    <w:p w14:paraId="6F150144" w14:textId="77777777" w:rsidR="002863E6" w:rsidRDefault="002863E6" w:rsidP="002863E6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NPN may be associated with an enterprise, which offers employees access to its own network as well as to one </w:t>
      </w:r>
      <w:r w:rsidR="00DE3C24">
        <w:rPr>
          <w:rFonts w:ascii="Times New Roman" w:hAnsi="Times New Roman"/>
          <w:lang w:val="en-GB"/>
        </w:rPr>
        <w:t>(</w:t>
      </w:r>
      <w:r>
        <w:rPr>
          <w:rFonts w:ascii="Times New Roman" w:hAnsi="Times New Roman"/>
          <w:lang w:val="en-GB"/>
        </w:rPr>
        <w:t>or multiple</w:t>
      </w:r>
      <w:r w:rsidR="00DE3C24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 xml:space="preserve"> PLMN</w:t>
      </w:r>
      <w:r w:rsidR="00DE3C24">
        <w:rPr>
          <w:rFonts w:ascii="Times New Roman" w:hAnsi="Times New Roman"/>
          <w:lang w:val="en-GB"/>
        </w:rPr>
        <w:t>(</w:t>
      </w:r>
      <w:r>
        <w:rPr>
          <w:rFonts w:ascii="Times New Roman" w:hAnsi="Times New Roman"/>
          <w:lang w:val="en-GB"/>
        </w:rPr>
        <w:t>s</w:t>
      </w:r>
      <w:r w:rsidR="00DE3C24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>.</w:t>
      </w:r>
      <w:r w:rsidR="00DE3C24">
        <w:rPr>
          <w:rFonts w:ascii="Times New Roman" w:hAnsi="Times New Roman"/>
          <w:lang w:val="en-GB"/>
        </w:rPr>
        <w:t xml:space="preserve"> </w:t>
      </w:r>
    </w:p>
    <w:p w14:paraId="13DE837E" w14:textId="77777777" w:rsidR="002863E6" w:rsidRDefault="00F760EE" w:rsidP="002863E6">
      <w:pPr>
        <w:jc w:val="left"/>
        <w:rPr>
          <w:rFonts w:ascii="Times New Roman" w:hAnsi="Times New Roman"/>
          <w:lang w:val="en-GB"/>
        </w:rPr>
      </w:pPr>
      <w:r w:rsidRPr="007A72F8">
        <w:rPr>
          <w:rFonts w:ascii="Times New Roman" w:hAnsi="Times New Roman"/>
          <w:highlight w:val="yellow"/>
          <w:lang w:val="en-GB"/>
        </w:rPr>
        <w:t xml:space="preserve">According to 23.501, </w:t>
      </w:r>
      <w:r w:rsidR="006472A0" w:rsidRPr="007A72F8">
        <w:rPr>
          <w:rFonts w:ascii="Times New Roman" w:hAnsi="Times New Roman"/>
          <w:highlight w:val="yellow"/>
          <w:lang w:val="en-GB"/>
        </w:rPr>
        <w:t>NPN and PLMN</w:t>
      </w:r>
      <w:r w:rsidRPr="007A72F8">
        <w:rPr>
          <w:rFonts w:ascii="Times New Roman" w:hAnsi="Times New Roman"/>
          <w:highlight w:val="yellow"/>
          <w:lang w:val="en-GB"/>
        </w:rPr>
        <w:t xml:space="preserve"> </w:t>
      </w:r>
      <w:r w:rsidRPr="007A72F8">
        <w:rPr>
          <w:rFonts w:ascii="Times New Roman" w:hAnsi="Times New Roman"/>
          <w:b/>
          <w:bCs/>
          <w:highlight w:val="yellow"/>
          <w:u w:val="single"/>
          <w:lang w:val="en-GB"/>
        </w:rPr>
        <w:t>can</w:t>
      </w:r>
      <w:r w:rsidR="002863E6" w:rsidRPr="007A72F8">
        <w:rPr>
          <w:rFonts w:ascii="Times New Roman" w:hAnsi="Times New Roman"/>
          <w:b/>
          <w:bCs/>
          <w:highlight w:val="yellow"/>
          <w:u w:val="single"/>
          <w:lang w:val="en-GB"/>
        </w:rPr>
        <w:t>not</w:t>
      </w:r>
      <w:r w:rsidRPr="007A72F8">
        <w:rPr>
          <w:rFonts w:ascii="Times New Roman" w:hAnsi="Times New Roman"/>
          <w:highlight w:val="yellow"/>
          <w:lang w:val="en-GB"/>
        </w:rPr>
        <w:t xml:space="preserve"> </w:t>
      </w:r>
      <w:r w:rsidR="006472A0" w:rsidRPr="007A72F8">
        <w:rPr>
          <w:rFonts w:ascii="Times New Roman" w:hAnsi="Times New Roman"/>
          <w:highlight w:val="yellow"/>
          <w:lang w:val="en-GB"/>
        </w:rPr>
        <w:t>use</w:t>
      </w:r>
      <w:r w:rsidRPr="007A72F8">
        <w:rPr>
          <w:rFonts w:ascii="Times New Roman" w:hAnsi="Times New Roman"/>
          <w:highlight w:val="yellow"/>
          <w:lang w:val="en-GB"/>
        </w:rPr>
        <w:t xml:space="preserve"> the same cell identifier</w:t>
      </w:r>
      <w:r w:rsidR="006472A0" w:rsidRPr="007A72F8">
        <w:rPr>
          <w:rFonts w:ascii="Times New Roman" w:hAnsi="Times New Roman"/>
          <w:highlight w:val="yellow"/>
          <w:lang w:val="en-GB"/>
        </w:rPr>
        <w:t>s</w:t>
      </w:r>
      <w:r w:rsidRPr="007A72F8">
        <w:rPr>
          <w:rFonts w:ascii="Times New Roman" w:hAnsi="Times New Roman"/>
          <w:highlight w:val="yellow"/>
          <w:lang w:val="en-GB"/>
        </w:rPr>
        <w:t xml:space="preserve">, which implies that </w:t>
      </w:r>
      <w:r w:rsidR="002863E6" w:rsidRPr="007A72F8">
        <w:rPr>
          <w:rFonts w:ascii="Times New Roman" w:hAnsi="Times New Roman"/>
          <w:highlight w:val="yellow"/>
          <w:lang w:val="en-GB"/>
        </w:rPr>
        <w:t xml:space="preserve">NPN and PLMN </w:t>
      </w:r>
      <w:r w:rsidR="006472A0" w:rsidRPr="007A72F8">
        <w:rPr>
          <w:rFonts w:ascii="Times New Roman" w:hAnsi="Times New Roman"/>
          <w:highlight w:val="yellow"/>
          <w:lang w:val="en-GB"/>
        </w:rPr>
        <w:t>must use</w:t>
      </w:r>
      <w:r w:rsidR="002863E6" w:rsidRPr="007A72F8">
        <w:rPr>
          <w:rFonts w:ascii="Times New Roman" w:hAnsi="Times New Roman"/>
          <w:highlight w:val="yellow"/>
          <w:lang w:val="en-GB"/>
        </w:rPr>
        <w:t xml:space="preserve"> separate gNB-CUs. </w:t>
      </w:r>
      <w:r w:rsidR="00A3703F" w:rsidRPr="007A72F8">
        <w:rPr>
          <w:rFonts w:ascii="Times New Roman" w:hAnsi="Times New Roman"/>
          <w:highlight w:val="yellow"/>
          <w:lang w:val="en-GB"/>
        </w:rPr>
        <w:t>In this case, e</w:t>
      </w:r>
      <w:r w:rsidR="002863E6" w:rsidRPr="007A72F8">
        <w:rPr>
          <w:rFonts w:ascii="Times New Roman" w:hAnsi="Times New Roman"/>
          <w:highlight w:val="yellow"/>
          <w:lang w:val="en-GB"/>
        </w:rPr>
        <w:t xml:space="preserve">ither the NPN’s </w:t>
      </w:r>
      <w:r w:rsidR="006472A0" w:rsidRPr="007A72F8">
        <w:rPr>
          <w:rFonts w:ascii="Times New Roman" w:hAnsi="Times New Roman"/>
          <w:highlight w:val="yellow"/>
          <w:lang w:val="en-GB"/>
        </w:rPr>
        <w:t xml:space="preserve">gNB-CU </w:t>
      </w:r>
      <w:r w:rsidR="002863E6" w:rsidRPr="007A72F8">
        <w:rPr>
          <w:rFonts w:ascii="Times New Roman" w:hAnsi="Times New Roman"/>
          <w:highlight w:val="yellow"/>
          <w:lang w:val="en-GB"/>
        </w:rPr>
        <w:t>or the PLMN’s gNB-CU obtains IAB-donor functionality to control IAB-operation.</w:t>
      </w:r>
      <w:r w:rsidR="002863E6">
        <w:rPr>
          <w:rFonts w:ascii="Times New Roman" w:hAnsi="Times New Roman"/>
          <w:lang w:val="en-GB"/>
        </w:rPr>
        <w:t xml:space="preserve"> The </w:t>
      </w:r>
      <w:r w:rsidR="00435DF9">
        <w:rPr>
          <w:rFonts w:ascii="Times New Roman" w:hAnsi="Times New Roman"/>
          <w:lang w:val="en-GB"/>
        </w:rPr>
        <w:t xml:space="preserve">respective </w:t>
      </w:r>
      <w:r w:rsidR="002863E6">
        <w:rPr>
          <w:rFonts w:ascii="Times New Roman" w:hAnsi="Times New Roman"/>
          <w:lang w:val="en-GB"/>
        </w:rPr>
        <w:t xml:space="preserve">other network </w:t>
      </w:r>
      <w:r w:rsidR="00E55C0A">
        <w:rPr>
          <w:rFonts w:ascii="Times New Roman" w:hAnsi="Times New Roman"/>
          <w:lang w:val="en-GB"/>
        </w:rPr>
        <w:t>remains</w:t>
      </w:r>
      <w:r w:rsidR="002863E6">
        <w:rPr>
          <w:rFonts w:ascii="Times New Roman" w:hAnsi="Times New Roman"/>
          <w:lang w:val="en-GB"/>
        </w:rPr>
        <w:t xml:space="preserve"> agnostic to IAB</w:t>
      </w:r>
      <w:r w:rsidR="00E55C0A">
        <w:rPr>
          <w:rFonts w:ascii="Times New Roman" w:hAnsi="Times New Roman"/>
          <w:lang w:val="en-GB"/>
        </w:rPr>
        <w:t xml:space="preserve"> and uses the wireless backhaul as a conventional layer-2 transport network</w:t>
      </w:r>
      <w:r w:rsidR="002863E6">
        <w:rPr>
          <w:rFonts w:ascii="Times New Roman" w:hAnsi="Times New Roman"/>
          <w:lang w:val="en-GB"/>
        </w:rPr>
        <w:t>.</w:t>
      </w:r>
    </w:p>
    <w:p w14:paraId="5A6740EE" w14:textId="77777777" w:rsidR="00E55C0A" w:rsidRDefault="002863E6" w:rsidP="002863E6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following issues need</w:t>
      </w:r>
      <w:r w:rsidR="00E55C0A">
        <w:rPr>
          <w:rFonts w:ascii="Times New Roman" w:hAnsi="Times New Roman"/>
          <w:lang w:val="en-GB"/>
        </w:rPr>
        <w:t xml:space="preserve"> to be considered:</w:t>
      </w:r>
    </w:p>
    <w:p w14:paraId="4632C13A" w14:textId="77777777" w:rsidR="002863E6" w:rsidRDefault="00E55C0A" w:rsidP="00E55C0A">
      <w:pPr>
        <w:numPr>
          <w:ilvl w:val="0"/>
          <w:numId w:val="22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Backhaul transport management </w:t>
      </w:r>
      <w:r w:rsidR="00DE3C24">
        <w:rPr>
          <w:rFonts w:ascii="Times New Roman" w:hAnsi="Times New Roman"/>
          <w:lang w:val="en-GB"/>
        </w:rPr>
        <w:t xml:space="preserve">by the host network </w:t>
      </w:r>
      <w:r>
        <w:rPr>
          <w:rFonts w:ascii="Times New Roman" w:hAnsi="Times New Roman"/>
          <w:lang w:val="en-GB"/>
        </w:rPr>
        <w:t>for the client network(s): BH RLC establishment/release, BAP routing and mapping configuration, IP address allocation for gNB-DUs</w:t>
      </w:r>
      <w:r w:rsidR="00DE3C24">
        <w:rPr>
          <w:rFonts w:ascii="Times New Roman" w:hAnsi="Times New Roman"/>
          <w:lang w:val="en-GB"/>
        </w:rPr>
        <w:t>, QoS enforcement</w:t>
      </w:r>
      <w:r>
        <w:rPr>
          <w:rFonts w:ascii="Times New Roman" w:hAnsi="Times New Roman"/>
          <w:lang w:val="en-GB"/>
        </w:rPr>
        <w:t>.</w:t>
      </w:r>
    </w:p>
    <w:p w14:paraId="242BB4F3" w14:textId="77777777" w:rsidR="00DE3C24" w:rsidRDefault="00DE3C24" w:rsidP="00DE3C24">
      <w:pPr>
        <w:numPr>
          <w:ilvl w:val="0"/>
          <w:numId w:val="22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Resource configuration on access and backhaul links by the host network for the client networks: This includes coordination of UL/DL TDD configuration by the client gNB-CUs with TDM resource configurations by the IAB-donor-CU.</w:t>
      </w:r>
    </w:p>
    <w:p w14:paraId="3BC990D0" w14:textId="77777777" w:rsidR="002863E6" w:rsidRDefault="00DE3C24" w:rsidP="00DE3C24">
      <w:pPr>
        <w:numPr>
          <w:ilvl w:val="0"/>
          <w:numId w:val="22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Others. </w:t>
      </w:r>
    </w:p>
    <w:p w14:paraId="3EC560CB" w14:textId="77777777" w:rsidR="002863E6" w:rsidRDefault="007A72F8" w:rsidP="00F760EE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Note that s</w:t>
      </w:r>
      <w:r w:rsidR="00F55489">
        <w:rPr>
          <w:rFonts w:ascii="Times New Roman" w:hAnsi="Times New Roman"/>
          <w:lang w:val="en-GB"/>
        </w:rPr>
        <w:t xml:space="preserve">cenario (b) can also be applied to RAN sharing among multiple NPNs or among multiple PLMNs. However, scenario (a) cannot be applied to the RAN sharing between NPN and PLMN. </w:t>
      </w:r>
    </w:p>
    <w:p w14:paraId="351F0E6F" w14:textId="77777777" w:rsidR="00F55489" w:rsidRDefault="00F55489" w:rsidP="00F760EE">
      <w:pPr>
        <w:jc w:val="left"/>
        <w:rPr>
          <w:rFonts w:ascii="Times New Roman" w:hAnsi="Times New Roman"/>
          <w:lang w:val="en-GB"/>
        </w:rPr>
      </w:pPr>
    </w:p>
    <w:p w14:paraId="03798521" w14:textId="77777777" w:rsidR="00F80487" w:rsidRDefault="00DE3C24" w:rsidP="00DE3C24">
      <w:pPr>
        <w:jc w:val="left"/>
        <w:rPr>
          <w:rFonts w:ascii="Times New Roman" w:hAnsi="Times New Roman"/>
          <w:lang w:val="en-GB"/>
        </w:rPr>
      </w:pPr>
      <w:r w:rsidRPr="00AE2612">
        <w:rPr>
          <w:rFonts w:ascii="Times New Roman" w:hAnsi="Times New Roman"/>
          <w:b/>
          <w:bCs/>
          <w:lang w:val="en-GB"/>
        </w:rPr>
        <w:t xml:space="preserve">Scenario </w:t>
      </w:r>
      <w:r>
        <w:rPr>
          <w:rFonts w:ascii="Times New Roman" w:hAnsi="Times New Roman"/>
          <w:b/>
          <w:bCs/>
          <w:lang w:val="en-GB"/>
        </w:rPr>
        <w:t>c</w:t>
      </w:r>
      <w:r w:rsidRPr="00AE2612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lang w:val="en-GB"/>
        </w:rPr>
        <w:t xml:space="preserve"> </w:t>
      </w:r>
      <w:r w:rsidR="00C5350E">
        <w:rPr>
          <w:rFonts w:ascii="Times New Roman" w:hAnsi="Times New Roman"/>
          <w:lang w:val="en-GB"/>
        </w:rPr>
        <w:t>The NPN and the PLMN share the same RAN resources</w:t>
      </w:r>
      <w:r w:rsidR="00435DF9">
        <w:rPr>
          <w:rFonts w:ascii="Times New Roman" w:hAnsi="Times New Roman"/>
          <w:lang w:val="en-GB"/>
        </w:rPr>
        <w:t>, which include IAB and</w:t>
      </w:r>
      <w:r w:rsidR="00C5350E">
        <w:rPr>
          <w:rFonts w:ascii="Times New Roman" w:hAnsi="Times New Roman"/>
          <w:lang w:val="en-GB"/>
        </w:rPr>
        <w:t xml:space="preserve"> </w:t>
      </w:r>
      <w:r w:rsidR="004B7249">
        <w:rPr>
          <w:rFonts w:ascii="Times New Roman" w:hAnsi="Times New Roman"/>
          <w:lang w:val="en-GB"/>
        </w:rPr>
        <w:t xml:space="preserve">where the PLMN controls the </w:t>
      </w:r>
      <w:r w:rsidR="00C5350E">
        <w:rPr>
          <w:rFonts w:ascii="Times New Roman" w:hAnsi="Times New Roman"/>
          <w:lang w:val="en-GB"/>
        </w:rPr>
        <w:t>inner</w:t>
      </w:r>
      <w:r w:rsidR="004B7249">
        <w:rPr>
          <w:rFonts w:ascii="Times New Roman" w:hAnsi="Times New Roman"/>
          <w:lang w:val="en-GB"/>
        </w:rPr>
        <w:t xml:space="preserve"> IAB hops and the NPN controls the outer IAB hops</w:t>
      </w:r>
      <w:r w:rsidR="00F80487">
        <w:rPr>
          <w:rFonts w:ascii="Times New Roman" w:hAnsi="Times New Roman"/>
          <w:lang w:val="en-GB"/>
        </w:rPr>
        <w:t xml:space="preserve"> (Fig. 1c)</w:t>
      </w:r>
      <w:r w:rsidR="004B7249">
        <w:rPr>
          <w:rFonts w:ascii="Times New Roman" w:hAnsi="Times New Roman"/>
          <w:lang w:val="en-GB"/>
        </w:rPr>
        <w:t xml:space="preserve">. </w:t>
      </w:r>
    </w:p>
    <w:p w14:paraId="67F4FD6E" w14:textId="77777777" w:rsidR="00F80487" w:rsidRDefault="00DE3C24" w:rsidP="00DE3C24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PLMN may be associated with a FWA operator</w:t>
      </w:r>
      <w:r w:rsidR="00C5350E">
        <w:rPr>
          <w:rFonts w:ascii="Times New Roman" w:hAnsi="Times New Roman"/>
          <w:lang w:val="en-GB"/>
        </w:rPr>
        <w:t xml:space="preserve">, which provides </w:t>
      </w:r>
      <w:r>
        <w:rPr>
          <w:rFonts w:ascii="Times New Roman" w:hAnsi="Times New Roman"/>
          <w:lang w:val="en-GB"/>
        </w:rPr>
        <w:t>access to an enterprise</w:t>
      </w:r>
      <w:r w:rsidR="004B724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or home </w:t>
      </w:r>
      <w:r w:rsidR="004B7249">
        <w:rPr>
          <w:rFonts w:ascii="Times New Roman" w:hAnsi="Times New Roman"/>
          <w:lang w:val="en-GB"/>
        </w:rPr>
        <w:t xml:space="preserve">using the </w:t>
      </w:r>
      <w:r w:rsidR="00B3651C">
        <w:rPr>
          <w:rFonts w:ascii="Times New Roman" w:hAnsi="Times New Roman"/>
          <w:lang w:val="en-GB"/>
        </w:rPr>
        <w:t>inner</w:t>
      </w:r>
      <w:r w:rsidR="004B7249">
        <w:rPr>
          <w:rFonts w:ascii="Times New Roman" w:hAnsi="Times New Roman"/>
          <w:lang w:val="en-GB"/>
        </w:rPr>
        <w:t xml:space="preserve"> IAB hops</w:t>
      </w:r>
      <w:r w:rsidR="00C5350E">
        <w:rPr>
          <w:rFonts w:ascii="Times New Roman" w:hAnsi="Times New Roman"/>
          <w:lang w:val="en-GB"/>
        </w:rPr>
        <w:t>, while</w:t>
      </w:r>
      <w:r>
        <w:rPr>
          <w:rFonts w:ascii="Times New Roman" w:hAnsi="Times New Roman"/>
          <w:lang w:val="en-GB"/>
        </w:rPr>
        <w:t xml:space="preserve"> the NPN </w:t>
      </w:r>
      <w:r w:rsidR="00C5350E">
        <w:rPr>
          <w:rFonts w:ascii="Times New Roman" w:hAnsi="Times New Roman"/>
          <w:lang w:val="en-GB"/>
        </w:rPr>
        <w:t xml:space="preserve">extends coverage within enterprise or home </w:t>
      </w:r>
      <w:r w:rsidR="00B3651C">
        <w:rPr>
          <w:rFonts w:ascii="Times New Roman" w:hAnsi="Times New Roman"/>
          <w:lang w:val="en-GB"/>
        </w:rPr>
        <w:t>via the outer IAB hops.</w:t>
      </w:r>
      <w:r>
        <w:rPr>
          <w:rFonts w:ascii="Times New Roman" w:hAnsi="Times New Roman"/>
          <w:lang w:val="en-GB"/>
        </w:rPr>
        <w:t xml:space="preserve"> </w:t>
      </w:r>
    </w:p>
    <w:p w14:paraId="3CAB58E0" w14:textId="77777777" w:rsidR="00DE3C24" w:rsidRDefault="00F80487" w:rsidP="00DE3C24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Alternatively, the PLMN may provide wireless backhauling for in-train coverage via multiple hops, while the NPN represents an on-board local network using additional IAB hops.</w:t>
      </w:r>
    </w:p>
    <w:p w14:paraId="147D6324" w14:textId="77777777" w:rsidR="00C5350E" w:rsidRDefault="00C5350E" w:rsidP="00C5350E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following issues need to be considered:</w:t>
      </w:r>
    </w:p>
    <w:p w14:paraId="295126C9" w14:textId="77777777" w:rsidR="00C5350E" w:rsidRDefault="00C5350E" w:rsidP="00C5350E">
      <w:pPr>
        <w:numPr>
          <w:ilvl w:val="0"/>
          <w:numId w:val="22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Backhaul transport and resource management of the PLMN- and NPN-controlled sections must be decoupled so that each network is only aware of the IAB-hops it controls and agnostic to the remainder of </w:t>
      </w:r>
      <w:r w:rsidR="009243C1">
        <w:rPr>
          <w:rFonts w:ascii="Times New Roman" w:hAnsi="Times New Roman"/>
          <w:lang w:val="en-GB"/>
        </w:rPr>
        <w:t xml:space="preserve">the backhaul </w:t>
      </w:r>
      <w:r>
        <w:rPr>
          <w:rFonts w:ascii="Times New Roman" w:hAnsi="Times New Roman"/>
          <w:lang w:val="en-GB"/>
        </w:rPr>
        <w:t>transport.</w:t>
      </w:r>
    </w:p>
    <w:p w14:paraId="2949A42B" w14:textId="77777777" w:rsidR="00C5350E" w:rsidRDefault="00C5350E" w:rsidP="00C5350E">
      <w:pPr>
        <w:numPr>
          <w:ilvl w:val="0"/>
          <w:numId w:val="22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Impact on network integration and topology adaptation needs to be considered so that each network can manage IAB autonomously without affecting the adjacent network.</w:t>
      </w:r>
    </w:p>
    <w:p w14:paraId="092BD37A" w14:textId="77777777" w:rsidR="00522507" w:rsidRDefault="00522507" w:rsidP="00522507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 w:rsidR="00C5350E">
        <w:rPr>
          <w:rFonts w:ascii="Times New Roman" w:hAnsi="Times New Roman"/>
          <w:b/>
          <w:bCs/>
          <w:lang w:val="en-GB"/>
        </w:rPr>
        <w:t xml:space="preserve"> 1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RAN3 to discuss </w:t>
      </w:r>
      <w:r w:rsidR="00C5350E">
        <w:rPr>
          <w:rFonts w:ascii="Times New Roman" w:hAnsi="Times New Roman"/>
          <w:b/>
          <w:bCs/>
          <w:lang w:val="en-GB"/>
        </w:rPr>
        <w:t xml:space="preserve">scenarios for </w:t>
      </w:r>
      <w:r>
        <w:rPr>
          <w:rFonts w:ascii="Times New Roman" w:hAnsi="Times New Roman"/>
          <w:b/>
          <w:bCs/>
          <w:lang w:val="en-GB"/>
        </w:rPr>
        <w:t xml:space="preserve">RAN-sharing </w:t>
      </w:r>
      <w:r w:rsidR="00C5350E">
        <w:rPr>
          <w:rFonts w:ascii="Times New Roman" w:hAnsi="Times New Roman"/>
          <w:b/>
          <w:bCs/>
          <w:lang w:val="en-GB"/>
        </w:rPr>
        <w:t>between PLMN and NPN with</w:t>
      </w:r>
      <w:r>
        <w:rPr>
          <w:rFonts w:ascii="Times New Roman" w:hAnsi="Times New Roman"/>
          <w:b/>
          <w:bCs/>
          <w:lang w:val="en-GB"/>
        </w:rPr>
        <w:t xml:space="preserve"> IAB.</w:t>
      </w:r>
    </w:p>
    <w:p w14:paraId="715C983A" w14:textId="77777777" w:rsidR="00C5350E" w:rsidRDefault="00C5350E" w:rsidP="00C5350E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2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consider RAN-sharing between PLMN and NPN</w:t>
      </w:r>
      <w:r w:rsidR="009243C1">
        <w:rPr>
          <w:rFonts w:ascii="Times New Roman" w:hAnsi="Times New Roman"/>
          <w:b/>
          <w:bCs/>
          <w:lang w:val="en-GB"/>
        </w:rPr>
        <w:t>,</w:t>
      </w:r>
      <w:r>
        <w:rPr>
          <w:rFonts w:ascii="Times New Roman" w:hAnsi="Times New Roman"/>
          <w:b/>
          <w:bCs/>
          <w:lang w:val="en-GB"/>
        </w:rPr>
        <w:t xml:space="preserve"> where one network controls IAB.</w:t>
      </w:r>
    </w:p>
    <w:p w14:paraId="0848F005" w14:textId="77777777" w:rsidR="00515B71" w:rsidRDefault="00515B71" w:rsidP="00515B7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3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consider RAN-sharing between PLMN and NPN</w:t>
      </w:r>
      <w:r w:rsidR="009243C1">
        <w:rPr>
          <w:rFonts w:ascii="Times New Roman" w:hAnsi="Times New Roman"/>
          <w:b/>
          <w:bCs/>
          <w:lang w:val="en-GB"/>
        </w:rPr>
        <w:t>,</w:t>
      </w:r>
      <w:r>
        <w:rPr>
          <w:rFonts w:ascii="Times New Roman" w:hAnsi="Times New Roman"/>
          <w:b/>
          <w:bCs/>
          <w:lang w:val="en-GB"/>
        </w:rPr>
        <w:t xml:space="preserve"> where each network controls a separate set of hops on the IAB-network.</w:t>
      </w:r>
    </w:p>
    <w:p w14:paraId="712CA889" w14:textId="77777777"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lastRenderedPageBreak/>
        <w:t>Conclusion</w:t>
      </w:r>
    </w:p>
    <w:p w14:paraId="594A7CDD" w14:textId="77777777" w:rsidR="00F81C00" w:rsidRPr="00A12F39" w:rsidRDefault="007478C4" w:rsidP="00A95E53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This paper discussed scenarios, where IAB needs to be supported in a RAN, whose resources are shared between a PLMN and NPN.</w:t>
      </w:r>
      <w:r w:rsidR="00A309E5">
        <w:rPr>
          <w:rFonts w:ascii="Times New Roman" w:hAnsi="Times New Roman"/>
        </w:rPr>
        <w:t xml:space="preserve"> </w:t>
      </w:r>
      <w:r w:rsidR="00A12F39">
        <w:rPr>
          <w:rFonts w:ascii="Times New Roman" w:hAnsi="Times New Roman"/>
        </w:rPr>
        <w:t>The</w:t>
      </w:r>
      <w:r w:rsidR="00F81C00" w:rsidRPr="00707EB3">
        <w:rPr>
          <w:rFonts w:ascii="Times New Roman" w:hAnsi="Times New Roman"/>
          <w:lang w:val="x-none"/>
        </w:rPr>
        <w:t xml:space="preserve"> following </w:t>
      </w:r>
      <w:r w:rsidR="007659D4" w:rsidRPr="00707EB3">
        <w:rPr>
          <w:rFonts w:ascii="Times New Roman" w:hAnsi="Times New Roman"/>
          <w:lang w:val="x-none"/>
        </w:rPr>
        <w:t>proposals</w:t>
      </w:r>
      <w:r w:rsidR="00A12F39">
        <w:rPr>
          <w:rFonts w:ascii="Times New Roman" w:hAnsi="Times New Roman"/>
        </w:rPr>
        <w:t xml:space="preserve"> have been made:</w:t>
      </w:r>
    </w:p>
    <w:p w14:paraId="19A5161C" w14:textId="77777777" w:rsidR="00A12F39" w:rsidRPr="00707EB3" w:rsidRDefault="00A12F39" w:rsidP="00A95E53">
      <w:pPr>
        <w:spacing w:after="0"/>
        <w:jc w:val="left"/>
        <w:rPr>
          <w:rFonts w:ascii="Times New Roman" w:hAnsi="Times New Roman"/>
          <w:lang w:val="x-none"/>
        </w:rPr>
      </w:pPr>
    </w:p>
    <w:p w14:paraId="6D4DF242" w14:textId="77777777" w:rsidR="009243C1" w:rsidRDefault="009243C1" w:rsidP="009243C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1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discuss scenarios for RAN-sharing between PLMN and NPN with IAB.</w:t>
      </w:r>
    </w:p>
    <w:p w14:paraId="6253AFC2" w14:textId="77777777" w:rsidR="009243C1" w:rsidRDefault="009243C1" w:rsidP="009243C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2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consider RAN-sharing between PLMN and NPN, where one network controls IAB.</w:t>
      </w:r>
    </w:p>
    <w:p w14:paraId="3F8A80F7" w14:textId="77777777" w:rsidR="009243C1" w:rsidRDefault="009243C1" w:rsidP="009243C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3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consider RAN-sharing between PLMN and NPN, where each network controls a separate set of hops on the IAB-network.</w:t>
      </w:r>
      <w:bookmarkEnd w:id="1"/>
      <w:bookmarkEnd w:id="2"/>
    </w:p>
    <w:sectPr w:rsidR="009243C1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CFC2B" w14:textId="77777777" w:rsidR="00166C27" w:rsidRDefault="00166C27" w:rsidP="00796430">
      <w:r>
        <w:separator/>
      </w:r>
    </w:p>
  </w:endnote>
  <w:endnote w:type="continuationSeparator" w:id="0">
    <w:p w14:paraId="3F0364B5" w14:textId="77777777" w:rsidR="00166C27" w:rsidRDefault="00166C2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19B33" w14:textId="77777777" w:rsidR="00A84EC8" w:rsidRDefault="00A84EC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89E0A" w14:textId="77777777" w:rsidR="00166C27" w:rsidRDefault="00166C27" w:rsidP="00796430">
      <w:r>
        <w:separator/>
      </w:r>
    </w:p>
  </w:footnote>
  <w:footnote w:type="continuationSeparator" w:id="0">
    <w:p w14:paraId="3ACCB0DE" w14:textId="77777777" w:rsidR="00166C27" w:rsidRDefault="00166C2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9AA0A" w14:textId="77777777" w:rsidR="00A84EC8" w:rsidRDefault="00A84EC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134188"/>
    <w:multiLevelType w:val="hybridMultilevel"/>
    <w:tmpl w:val="A3324F18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6A09DD"/>
    <w:multiLevelType w:val="hybridMultilevel"/>
    <w:tmpl w:val="1876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58DD"/>
    <w:multiLevelType w:val="hybridMultilevel"/>
    <w:tmpl w:val="A4A49CC8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7795F1E"/>
    <w:multiLevelType w:val="hybridMultilevel"/>
    <w:tmpl w:val="9E9C4DE0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B243AA"/>
    <w:multiLevelType w:val="hybridMultilevel"/>
    <w:tmpl w:val="BAAA8EC0"/>
    <w:lvl w:ilvl="0" w:tplc="C14884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910C3"/>
    <w:multiLevelType w:val="hybridMultilevel"/>
    <w:tmpl w:val="583E9828"/>
    <w:lvl w:ilvl="0" w:tplc="46DA9E82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1DA3238"/>
    <w:name w:val="Recommend3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7F52A81"/>
    <w:multiLevelType w:val="hybridMultilevel"/>
    <w:tmpl w:val="A016EECC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6403083C"/>
    <w:multiLevelType w:val="hybridMultilevel"/>
    <w:tmpl w:val="76F864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7"/>
  </w:num>
  <w:num w:numId="5">
    <w:abstractNumId w:val="18"/>
  </w:num>
  <w:num w:numId="6">
    <w:abstractNumId w:val="8"/>
  </w:num>
  <w:num w:numId="7">
    <w:abstractNumId w:val="3"/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2"/>
  </w:num>
  <w:num w:numId="11">
    <w:abstractNumId w:val="12"/>
  </w:num>
  <w:num w:numId="12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10"/>
  </w:num>
  <w:num w:numId="16">
    <w:abstractNumId w:val="15"/>
  </w:num>
  <w:num w:numId="17">
    <w:abstractNumId w:val="19"/>
  </w:num>
  <w:num w:numId="18">
    <w:abstractNumId w:val="9"/>
  </w:num>
  <w:num w:numId="19">
    <w:abstractNumId w:val="1"/>
  </w:num>
  <w:num w:numId="20">
    <w:abstractNumId w:val="4"/>
  </w:num>
  <w:num w:numId="21">
    <w:abstractNumId w:val="5"/>
  </w:num>
  <w:num w:numId="22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832"/>
    <w:rsid w:val="000021E5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81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59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0B2"/>
    <w:rsid w:val="000A022F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8E9"/>
    <w:rsid w:val="000A7A2B"/>
    <w:rsid w:val="000A7B14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0F0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7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1B68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B22"/>
    <w:rsid w:val="0025028F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8C3"/>
    <w:rsid w:val="00256385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1D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997"/>
    <w:rsid w:val="00285ACA"/>
    <w:rsid w:val="00285CBD"/>
    <w:rsid w:val="002863E6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5186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4B1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6D3B"/>
    <w:rsid w:val="002E75BE"/>
    <w:rsid w:val="002E76FA"/>
    <w:rsid w:val="002E788A"/>
    <w:rsid w:val="002E78F8"/>
    <w:rsid w:val="002E7F5F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1CBC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65B"/>
    <w:rsid w:val="003457B0"/>
    <w:rsid w:val="00345B1A"/>
    <w:rsid w:val="00345F84"/>
    <w:rsid w:val="00345FEE"/>
    <w:rsid w:val="0034668B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2BF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945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6B1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27"/>
    <w:rsid w:val="003A5BD8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C6F"/>
    <w:rsid w:val="003B7F25"/>
    <w:rsid w:val="003C014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3C17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20303"/>
    <w:rsid w:val="0042045D"/>
    <w:rsid w:val="0042061A"/>
    <w:rsid w:val="0042089C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82C"/>
    <w:rsid w:val="00422C7D"/>
    <w:rsid w:val="00423107"/>
    <w:rsid w:val="004232CF"/>
    <w:rsid w:val="00423740"/>
    <w:rsid w:val="00424257"/>
    <w:rsid w:val="00424DBB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5DF9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2E9A"/>
    <w:rsid w:val="00443470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5FD0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249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91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7032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5B71"/>
    <w:rsid w:val="00515D2A"/>
    <w:rsid w:val="005164FD"/>
    <w:rsid w:val="005167E7"/>
    <w:rsid w:val="00516CDB"/>
    <w:rsid w:val="00516E40"/>
    <w:rsid w:val="00516F3E"/>
    <w:rsid w:val="00517096"/>
    <w:rsid w:val="00517654"/>
    <w:rsid w:val="0052000D"/>
    <w:rsid w:val="0052063B"/>
    <w:rsid w:val="00520E39"/>
    <w:rsid w:val="00521264"/>
    <w:rsid w:val="00521D65"/>
    <w:rsid w:val="00521E6B"/>
    <w:rsid w:val="0052223C"/>
    <w:rsid w:val="00522507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367"/>
    <w:rsid w:val="0053063C"/>
    <w:rsid w:val="00530CB7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778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105"/>
    <w:rsid w:val="005A25CC"/>
    <w:rsid w:val="005A2828"/>
    <w:rsid w:val="005A2F72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A7C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2A0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ECE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97FC2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EDB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3DB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E09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CCE"/>
    <w:rsid w:val="00705F51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607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17E5D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8C4"/>
    <w:rsid w:val="00747F0B"/>
    <w:rsid w:val="007500B1"/>
    <w:rsid w:val="0075026E"/>
    <w:rsid w:val="007503E2"/>
    <w:rsid w:val="00750C46"/>
    <w:rsid w:val="00750CBC"/>
    <w:rsid w:val="00750E14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8A8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D2A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2F8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52B4"/>
    <w:rsid w:val="007C539E"/>
    <w:rsid w:val="007C653A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1F4E"/>
    <w:rsid w:val="007D20CF"/>
    <w:rsid w:val="007D240E"/>
    <w:rsid w:val="007D2BF9"/>
    <w:rsid w:val="007D30D3"/>
    <w:rsid w:val="007D3125"/>
    <w:rsid w:val="007D312C"/>
    <w:rsid w:val="007D3418"/>
    <w:rsid w:val="007D3821"/>
    <w:rsid w:val="007D3C1A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A27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2B5"/>
    <w:rsid w:val="0082384A"/>
    <w:rsid w:val="008239A1"/>
    <w:rsid w:val="00823D3F"/>
    <w:rsid w:val="008242D9"/>
    <w:rsid w:val="008242F2"/>
    <w:rsid w:val="008245B8"/>
    <w:rsid w:val="00824670"/>
    <w:rsid w:val="0082495F"/>
    <w:rsid w:val="00824B28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2F3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61E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809"/>
    <w:rsid w:val="00895AC0"/>
    <w:rsid w:val="00896697"/>
    <w:rsid w:val="00896DF4"/>
    <w:rsid w:val="00896E80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4F4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0A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80F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C3A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3C1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3B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985"/>
    <w:rsid w:val="00984BD2"/>
    <w:rsid w:val="00984EB1"/>
    <w:rsid w:val="0098532F"/>
    <w:rsid w:val="00985455"/>
    <w:rsid w:val="00985AD5"/>
    <w:rsid w:val="00986400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096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BA0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C38"/>
    <w:rsid w:val="009D5D09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797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1984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45B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03F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3AA"/>
    <w:rsid w:val="00A41407"/>
    <w:rsid w:val="00A41461"/>
    <w:rsid w:val="00A415D0"/>
    <w:rsid w:val="00A4174D"/>
    <w:rsid w:val="00A4241E"/>
    <w:rsid w:val="00A4271E"/>
    <w:rsid w:val="00A4281D"/>
    <w:rsid w:val="00A42A9C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0F99"/>
    <w:rsid w:val="00A912F6"/>
    <w:rsid w:val="00A91343"/>
    <w:rsid w:val="00A91DB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C2A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8E"/>
    <w:rsid w:val="00AA463D"/>
    <w:rsid w:val="00AA493B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2F85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06C6"/>
    <w:rsid w:val="00AE198D"/>
    <w:rsid w:val="00AE1F72"/>
    <w:rsid w:val="00AE242E"/>
    <w:rsid w:val="00AE2502"/>
    <w:rsid w:val="00AE2612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29B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4D0A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51C"/>
    <w:rsid w:val="00B3666A"/>
    <w:rsid w:val="00B367A2"/>
    <w:rsid w:val="00B367F6"/>
    <w:rsid w:val="00B3680F"/>
    <w:rsid w:val="00B36834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88D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3FBF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41"/>
    <w:rsid w:val="00BE12DD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1CB"/>
    <w:rsid w:val="00BF62F2"/>
    <w:rsid w:val="00BF632D"/>
    <w:rsid w:val="00BF6BBA"/>
    <w:rsid w:val="00BF6E4C"/>
    <w:rsid w:val="00BF7193"/>
    <w:rsid w:val="00BF727A"/>
    <w:rsid w:val="00BF73FC"/>
    <w:rsid w:val="00BF7941"/>
    <w:rsid w:val="00BF7B98"/>
    <w:rsid w:val="00C0053B"/>
    <w:rsid w:val="00C006AC"/>
    <w:rsid w:val="00C00C6C"/>
    <w:rsid w:val="00C013D8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0D25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E1D"/>
    <w:rsid w:val="00C5350E"/>
    <w:rsid w:val="00C5392A"/>
    <w:rsid w:val="00C53B22"/>
    <w:rsid w:val="00C5471B"/>
    <w:rsid w:val="00C54A16"/>
    <w:rsid w:val="00C54A7A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5B4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E3E"/>
    <w:rsid w:val="00C82F7D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14A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241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81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91A"/>
    <w:rsid w:val="00D03AB7"/>
    <w:rsid w:val="00D03CB1"/>
    <w:rsid w:val="00D03D28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113"/>
    <w:rsid w:val="00DA35BA"/>
    <w:rsid w:val="00DA3FB2"/>
    <w:rsid w:val="00DA3FDB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1A86"/>
    <w:rsid w:val="00DB268E"/>
    <w:rsid w:val="00DB284A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806"/>
    <w:rsid w:val="00DD6DAD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3C24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51D7"/>
    <w:rsid w:val="00E152B7"/>
    <w:rsid w:val="00E154B3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2D8B"/>
    <w:rsid w:val="00E23385"/>
    <w:rsid w:val="00E238DD"/>
    <w:rsid w:val="00E23C6C"/>
    <w:rsid w:val="00E24574"/>
    <w:rsid w:val="00E24D7E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4C2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0A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38C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2F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74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591"/>
    <w:rsid w:val="00E929BF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4FF"/>
    <w:rsid w:val="00EB7765"/>
    <w:rsid w:val="00EB7ADF"/>
    <w:rsid w:val="00EB7B99"/>
    <w:rsid w:val="00EB7BF0"/>
    <w:rsid w:val="00EC04DE"/>
    <w:rsid w:val="00EC0AD5"/>
    <w:rsid w:val="00EC0C58"/>
    <w:rsid w:val="00EC0DFC"/>
    <w:rsid w:val="00EC0F1A"/>
    <w:rsid w:val="00EC0FC0"/>
    <w:rsid w:val="00EC1248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9D7"/>
    <w:rsid w:val="00EE0FF6"/>
    <w:rsid w:val="00EE10F3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02EE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17"/>
    <w:rsid w:val="00F36F95"/>
    <w:rsid w:val="00F373E2"/>
    <w:rsid w:val="00F374DF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489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0EE"/>
    <w:rsid w:val="00F76377"/>
    <w:rsid w:val="00F764E2"/>
    <w:rsid w:val="00F76793"/>
    <w:rsid w:val="00F76C26"/>
    <w:rsid w:val="00F76EB6"/>
    <w:rsid w:val="00F77236"/>
    <w:rsid w:val="00F7775A"/>
    <w:rsid w:val="00F77E8B"/>
    <w:rsid w:val="00F80487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28A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8B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30E"/>
    <w:rsid w:val="00FF15EC"/>
    <w:rsid w:val="00FF19EB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29397CE"/>
  <w15:chartTrackingRefBased/>
  <w15:docId w15:val="{5DC343ED-E330-491A-A551-2375208F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E837F-F748-4D40-960C-447F36DC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</cp:lastModifiedBy>
  <cp:revision>3</cp:revision>
  <cp:lastPrinted>2016-09-19T16:11:00Z</cp:lastPrinted>
  <dcterms:created xsi:type="dcterms:W3CDTF">2020-08-05T22:47:00Z</dcterms:created>
  <dcterms:modified xsi:type="dcterms:W3CDTF">2020-08-05T22:48:00Z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